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6DEA3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b/>
          <w:bCs/>
          <w:i w:val="0"/>
          <w:iCs w:val="0"/>
          <w:caps w:val="0"/>
          <w:color w:val="000000"/>
          <w:spacing w:val="0"/>
          <w:sz w:val="28"/>
          <w:szCs w:val="28"/>
        </w:rPr>
      </w:pPr>
      <w:bookmarkStart w:id="0" w:name="_GoBack"/>
      <w:bookmarkEnd w:id="0"/>
      <w:r>
        <w:rPr>
          <w:rFonts w:hint="eastAsia" w:ascii="宋体" w:hAnsi="宋体" w:eastAsia="宋体" w:cs="宋体"/>
          <w:b/>
          <w:bCs/>
          <w:i w:val="0"/>
          <w:iCs w:val="0"/>
          <w:caps w:val="0"/>
          <w:color w:val="000000"/>
          <w:spacing w:val="0"/>
          <w:sz w:val="28"/>
          <w:szCs w:val="28"/>
          <w:shd w:val="clear" w:fill="FFFFFF"/>
          <w:lang w:val="en-US" w:eastAsia="zh-CN"/>
        </w:rPr>
        <w:t>附件</w:t>
      </w:r>
      <w:r>
        <w:rPr>
          <w:rFonts w:hint="eastAsia" w:cs="宋体"/>
          <w:b/>
          <w:bCs/>
          <w:i w:val="0"/>
          <w:iCs w:val="0"/>
          <w:caps w:val="0"/>
          <w:color w:val="000000"/>
          <w:spacing w:val="0"/>
          <w:sz w:val="28"/>
          <w:szCs w:val="28"/>
          <w:shd w:val="clear" w:fill="FFFFFF"/>
          <w:lang w:val="en-US" w:eastAsia="zh-CN"/>
        </w:rPr>
        <w:t>3</w:t>
      </w:r>
      <w:r>
        <w:rPr>
          <w:rFonts w:hint="eastAsia" w:ascii="宋体" w:hAnsi="宋体" w:eastAsia="宋体" w:cs="宋体"/>
          <w:b/>
          <w:bCs/>
          <w:i w:val="0"/>
          <w:iCs w:val="0"/>
          <w:caps w:val="0"/>
          <w:color w:val="000000"/>
          <w:spacing w:val="0"/>
          <w:sz w:val="28"/>
          <w:szCs w:val="28"/>
          <w:shd w:val="clear" w:fill="FFFFFF"/>
          <w:lang w:val="en-US" w:eastAsia="zh-CN"/>
        </w:rPr>
        <w:t xml:space="preserve"> ：2025年</w:t>
      </w:r>
      <w:r>
        <w:rPr>
          <w:rFonts w:hint="eastAsia" w:ascii="宋体" w:hAnsi="宋体" w:eastAsia="宋体" w:cs="宋体"/>
          <w:b/>
          <w:bCs/>
          <w:i w:val="0"/>
          <w:iCs w:val="0"/>
          <w:caps w:val="0"/>
          <w:color w:val="000000"/>
          <w:spacing w:val="0"/>
          <w:sz w:val="28"/>
          <w:szCs w:val="28"/>
          <w:shd w:val="clear" w:fill="FFFFFF"/>
        </w:rPr>
        <w:t>创新项目外语合格条件</w:t>
      </w:r>
    </w:p>
    <w:p w14:paraId="7D75EA3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right="0"/>
        <w:jc w:val="both"/>
        <w:rPr>
          <w:rFonts w:hint="eastAsia" w:ascii="宋体" w:hAnsi="宋体" w:eastAsia="宋体" w:cs="宋体"/>
          <w:b/>
          <w:bCs/>
          <w:i w:val="0"/>
          <w:iCs w:val="0"/>
          <w:caps w:val="0"/>
          <w:color w:val="000000" w:themeColor="text1"/>
          <w:spacing w:val="0"/>
          <w:sz w:val="24"/>
          <w:szCs w:val="24"/>
          <w:shd w:val="clear" w:fill="FFFFFF"/>
          <w14:textFill>
            <w14:solidFill>
              <w14:schemeClr w14:val="tx1"/>
            </w14:solidFill>
          </w14:textFill>
        </w:rPr>
      </w:pPr>
    </w:p>
    <w:p w14:paraId="304E9CA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shd w:val="clear" w:fill="FFFFFF"/>
          <w14:textFill>
            <w14:solidFill>
              <w14:schemeClr w14:val="tx1"/>
            </w14:solidFill>
          </w14:textFill>
        </w:rPr>
        <w:t>一、高级研究学者、访问学者及博士后类别申请人，外语水平需达到以下条件之一：</w:t>
      </w:r>
    </w:p>
    <w:p w14:paraId="75157E1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1. 参加“全国外语水平考试 (WSK)”并达到合格标准。各语种要求如下：</w:t>
      </w:r>
    </w:p>
    <w:p w14:paraId="11A4FBD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 英语（PETS5）：笔试总分55分（含）以上，其中听力部分18分（含）以上，口试总分3分（含）以上；</w:t>
      </w:r>
    </w:p>
    <w:p w14:paraId="7716DEF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 德语(NTD)：笔试总分65分（含）以上；</w:t>
      </w:r>
    </w:p>
    <w:p w14:paraId="5F48848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 法语(TNF)：笔试总分60分（含）以上；</w:t>
      </w:r>
    </w:p>
    <w:p w14:paraId="681EA8E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 日语（NNS）/俄语（ТЛРЯ）：笔试总分60分（含）以上，其中口试总分3分（含）以上。</w:t>
      </w:r>
    </w:p>
    <w:p w14:paraId="6E4BC4D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2. 外语专业本科（含）以上毕业（专业语种应与留学目的国使用的语种一致）。</w:t>
      </w:r>
    </w:p>
    <w:p w14:paraId="64E883F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3. 近十年内曾在同一语种国家或地区连续留学8个月（含）以上，或连续工作12个月（含）以上，或曾以国家公派高级研究学者身份留学3个月（含）以上。</w:t>
      </w:r>
    </w:p>
    <w:p w14:paraId="2A6E8E8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4. 曾在教育部指定出国留学人员培训部参加相应语种培训并获结业证书。各语种要求如下：</w:t>
      </w:r>
    </w:p>
    <w:p w14:paraId="78EBE28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 英语：高级班结业证书；</w:t>
      </w:r>
    </w:p>
    <w:p w14:paraId="09F37DB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 德语、法语、日语、俄语、西班牙语、意大利语：中级班结业证书。</w:t>
      </w:r>
    </w:p>
    <w:p w14:paraId="59DC2E9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5. 参加雅思、托福、德语、法语、西班牙语、意大利语、日语、韩语水平考试，成绩达到以下标准：</w:t>
      </w:r>
    </w:p>
    <w:p w14:paraId="1F28176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雅思（学术类）6.5分、托福网考95分；</w:t>
      </w:r>
    </w:p>
    <w:p w14:paraId="66C9E85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德语、法语、西班牙语、意大利语达到欧洲统一语言参考框架（CECRL）B2级；</w:t>
      </w:r>
    </w:p>
    <w:p w14:paraId="603DF21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日语达到日本语能力测试（JLPT）三级（N3）；</w:t>
      </w:r>
    </w:p>
    <w:p w14:paraId="6301598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韩语达到TOPIK3级。</w:t>
      </w:r>
    </w:p>
    <w:p w14:paraId="47C272F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6. 赴其他语种（除英语、德语、法语、日语、俄语、西班牙语、意大利语以外）国家留学者，通过国外拟留学单位组织的对该语种的面试或考试等方式达到其语言要求（应在外方邀请信中注明或单独出具证明）。</w:t>
      </w:r>
    </w:p>
    <w:p w14:paraId="3B9E7B3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 </w:t>
      </w:r>
    </w:p>
    <w:p w14:paraId="45986DC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shd w:val="clear" w:fill="FFFFFF"/>
          <w:lang w:val="en-US" w:eastAsia="zh-CN"/>
          <w14:textFill>
            <w14:solidFill>
              <w14:schemeClr w14:val="tx1"/>
            </w14:solidFill>
          </w14:textFill>
        </w:rPr>
        <w:t>二</w:t>
      </w:r>
      <w:r>
        <w:rPr>
          <w:rFonts w:hint="eastAsia" w:ascii="宋体" w:hAnsi="宋体" w:eastAsia="宋体" w:cs="宋体"/>
          <w:b/>
          <w:bCs/>
          <w:i w:val="0"/>
          <w:iCs w:val="0"/>
          <w:caps w:val="0"/>
          <w:color w:val="000000" w:themeColor="text1"/>
          <w:spacing w:val="0"/>
          <w:sz w:val="24"/>
          <w:szCs w:val="24"/>
          <w:shd w:val="clear" w:fill="FFFFFF"/>
          <w14:textFill>
            <w14:solidFill>
              <w14:schemeClr w14:val="tx1"/>
            </w14:solidFill>
          </w14:textFill>
        </w:rPr>
        <w:t>、关于创新项目外语合格条件的说明</w:t>
      </w:r>
    </w:p>
    <w:p w14:paraId="33D538C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1. 上述外语合格条件系留学人员申请和派出的统一标准，申请时合格且外语成绩证明在有效期内，派出时即可视为外语合格。全国外语水平考试（WSK）、教育部出国留学人员培训部结业证书、雅思、托福、欧洲统一语言参考框架（CECRL）、韩语（TOPIK）、日语（JLPT）成绩有效期均为两年。</w:t>
      </w:r>
    </w:p>
    <w:p w14:paraId="29E6297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2. 全国外语水平考试（WSK）的证明材料为全国外语水平考试(WSK)成绩通知单。</w:t>
      </w:r>
    </w:p>
    <w:p w14:paraId="0F4EC45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3. 外语专业本科（含）以上毕业的证明材料为学历或学位证书。</w:t>
      </w:r>
    </w:p>
    <w:p w14:paraId="4FCCFF4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4. 曾在同一语种国家或地区留学或工作的证明材料可以提供以下所列任一：</w:t>
      </w:r>
    </w:p>
    <w:p w14:paraId="2E3FD9F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left"/>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shd w:val="clear" w:fill="FFFFFF"/>
          <w:lang w:val="en-US" w:eastAsia="zh-CN" w:bidi="ar"/>
          <w14:textFill>
            <w14:solidFill>
              <w14:schemeClr w14:val="tx1"/>
            </w14:solidFill>
          </w14:textFill>
        </w:rPr>
        <w:t>（1）往年开具的《留学回国人员证明》；</w:t>
      </w:r>
    </w:p>
    <w:p w14:paraId="513E836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left"/>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shd w:val="clear" w:fill="FFFFFF"/>
          <w:lang w:val="en-US" w:eastAsia="zh-CN" w:bidi="ar"/>
          <w14:textFill>
            <w14:solidFill>
              <w14:schemeClr w14:val="tx1"/>
            </w14:solidFill>
          </w14:textFill>
        </w:rPr>
        <w:t>（2）可认定留学期限、留学单位和学历的相关佐证材料：</w:t>
      </w:r>
    </w:p>
    <w:p w14:paraId="31D8EA2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00"/>
        <w:jc w:val="left"/>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shd w:val="clear" w:fill="FFFFFF"/>
          <w:lang w:val="en-US" w:eastAsia="zh-CN" w:bidi="ar"/>
          <w14:textFill>
            <w14:solidFill>
              <w14:schemeClr w14:val="tx1"/>
            </w14:solidFill>
          </w14:textFill>
        </w:rPr>
        <w:t>①曾在国外取得学历学位人员应提供：国家移民管理局官网打印的本人出入境记录、国外院校颁发的学位证书或毕业证书/教育部留学服务中心开具的国外学历学位认证书。</w:t>
      </w:r>
    </w:p>
    <w:p w14:paraId="1556EF5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00"/>
        <w:jc w:val="left"/>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shd w:val="clear" w:fill="FFFFFF"/>
          <w:lang w:val="en-US" w:eastAsia="zh-CN" w:bidi="ar"/>
          <w14:textFill>
            <w14:solidFill>
              <w14:schemeClr w14:val="tx1"/>
            </w14:solidFill>
          </w14:textFill>
        </w:rPr>
        <w:t>②曾在国外工作或研修人员应提供：国家移民管理局官网打印的本人出入境记录、曾留学单位及国内派出单位人事部门分别出具的在外学习或工作的证明。</w:t>
      </w:r>
    </w:p>
    <w:p w14:paraId="7976CA8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00"/>
        <w:jc w:val="left"/>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shd w:val="clear" w:fill="FFFFFF"/>
          <w:lang w:val="en-US" w:eastAsia="zh-CN" w:bidi="ar"/>
          <w14:textFill>
            <w14:solidFill>
              <w14:schemeClr w14:val="tx1"/>
            </w14:solidFill>
          </w14:textFill>
        </w:rPr>
        <w:t>对曾留学国与拟留学国使用语言不一致的，须另行提供曾留学单位出具的工作语言为相应语种的证明。</w:t>
      </w:r>
    </w:p>
    <w:p w14:paraId="3C1E85B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5. 德语、法语、西班牙语、意大利语达到欧洲统一语言参考框架（CECRL）B2级包括参加相应语种考试并取得等同于CECRL B2级的证书或成绩，如德语TestDaF12分以上，法语TEF541分以上、TCF400分以上、DELFB2，西班牙语TELEB2，意大利语CELI3、CILSDueB2、PLIDA B2等。</w:t>
      </w:r>
    </w:p>
    <w:p w14:paraId="27ACA29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6. 赴非英语国家外语合格条件的说明</w:t>
      </w:r>
    </w:p>
    <w:p w14:paraId="3130459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外方邀请信须明确工作语言。对外方邀请信中明确表述可使用英语作为工作语言的留学人员，英语达到国家公派合格标准也可以申请并派出，派出前可按自愿原则到有关教育部出国留学人员培训部参加对象国语言初级培训，申报时提交英语水平证明材料即可；对外方邀请信中明确表述使用英语以外语种作为工作语言的留学人员（含邀请信中未明确工作语言者），应达到上述外语合格条件规定的相应语种合格要求，并提交相应外语水平证明材料。</w:t>
      </w:r>
    </w:p>
    <w:p w14:paraId="20A7B2A5">
      <w:pPr>
        <w:pStyle w:val="3"/>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参加教育部指定出国留学人员培训部外语培训者，由申请人自行联系有关培训部参加培训。各培训部培训语种、联系电话等信息请查阅《</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fldChar w:fldCharType="begin"/>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instrText xml:space="preserve"> HYPERLINK "https://www.csc.edu.cn/article/1939" </w:instrTex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fldChar w:fldCharType="separate"/>
      </w:r>
      <w:r>
        <w:rPr>
          <w:rStyle w:val="6"/>
          <w:rFonts w:hint="eastAsia" w:ascii="宋体" w:hAnsi="宋体" w:eastAsia="宋体" w:cs="宋体"/>
          <w:i w:val="0"/>
          <w:iCs w:val="0"/>
          <w:caps w:val="0"/>
          <w:color w:val="000000" w:themeColor="text1"/>
          <w:spacing w:val="0"/>
          <w:sz w:val="24"/>
          <w:szCs w:val="24"/>
          <w:u w:val="single"/>
          <w:shd w:val="clear" w:fill="FFFFFF"/>
          <w14:textFill>
            <w14:solidFill>
              <w14:schemeClr w14:val="tx1"/>
            </w14:solidFill>
          </w14:textFill>
        </w:rPr>
        <w:t>教育部指定出国留学人员培训部培训语种及联系电话</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fldChar w:fldCharType="end"/>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》。培训前，申请人需参加有关培训部组织的水平测试，并根据测试结果安排相应级别的培训。参加英语高级班培训的人员，须参加全国统一结业考试。</w:t>
      </w:r>
    </w:p>
    <w:p w14:paraId="7EEBDD6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left"/>
        <w:rPr>
          <w:rFonts w:hint="default" w:ascii="宋体" w:hAnsi="宋体" w:eastAsia="宋体" w:cs="宋体"/>
          <w:i w:val="0"/>
          <w:iCs w:val="0"/>
          <w:caps w:val="0"/>
          <w:color w:val="000000"/>
          <w:spacing w:val="0"/>
          <w:kern w:val="0"/>
          <w:sz w:val="22"/>
          <w:szCs w:val="22"/>
          <w:shd w:val="clear" w:fill="FFFFFF"/>
          <w:lang w:val="en-US" w:eastAsia="zh-CN" w:bidi="ar"/>
        </w:rPr>
      </w:pPr>
      <w:r>
        <w:rPr>
          <w:rFonts w:hint="eastAsia" w:ascii="宋体" w:hAnsi="宋体" w:eastAsia="宋体" w:cs="宋体"/>
          <w:i w:val="0"/>
          <w:iCs w:val="0"/>
          <w:caps w:val="0"/>
          <w:color w:val="000000"/>
          <w:spacing w:val="0"/>
          <w:kern w:val="0"/>
          <w:sz w:val="24"/>
          <w:szCs w:val="24"/>
          <w:shd w:val="clear" w:fill="FFFFFF"/>
          <w:lang w:val="en-US" w:eastAsia="zh-CN" w:bidi="ar"/>
        </w:rPr>
        <w:t>具体要求详见国家留学网通知，网址：</w:t>
      </w:r>
      <w:r>
        <w:rPr>
          <w:rFonts w:hint="eastAsia" w:ascii="宋体" w:hAnsi="宋体" w:eastAsia="宋体" w:cs="宋体"/>
          <w:i w:val="0"/>
          <w:iCs w:val="0"/>
          <w:caps w:val="0"/>
          <w:color w:val="000000"/>
          <w:spacing w:val="0"/>
          <w:kern w:val="0"/>
          <w:sz w:val="22"/>
          <w:szCs w:val="22"/>
          <w:shd w:val="clear" w:fill="FFFFFF"/>
          <w:lang w:val="en-US" w:eastAsia="zh-CN" w:bidi="ar"/>
        </w:rPr>
        <w:t>https://www.csc.edu.cn/article/3300。</w:t>
      </w:r>
    </w:p>
    <w:p w14:paraId="220E8E5E"/>
    <w:p w14:paraId="27C8B8FB">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480" w:leftChars="0" w:right="0" w:rightChars="0"/>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pPr>
    </w:p>
    <w:p w14:paraId="63E2C6B0">
      <w:pPr>
        <w:rPr>
          <w:rFonts w:hint="eastAsia" w:ascii="宋体" w:hAnsi="宋体" w:eastAsia="宋体" w:cs="宋体"/>
          <w:color w:val="000000" w:themeColor="text1"/>
          <w:sz w:val="24"/>
          <w:szCs w:val="24"/>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汉仪书宋二KW">
    <w:panose1 w:val="00020600040101010101"/>
    <w:charset w:val="86"/>
    <w:family w:val="auto"/>
    <w:pitch w:val="default"/>
    <w:sig w:usb0="A00002BF" w:usb1="18EF7CFA" w:usb2="00000016" w:usb3="00000000" w:csb0="00040000" w:csb1="00000000"/>
  </w:font>
  <w:font w:name="Wingdings">
    <w:altName w:val="Kingsoft Confetti"/>
    <w:panose1 w:val="05000000000000000000"/>
    <w:charset w:val="02"/>
    <w:family w:val="auto"/>
    <w:pitch w:val="default"/>
    <w:sig w:usb0="00000000" w:usb1="00000000" w:usb2="00000000" w:usb3="00000000" w:csb0="80000000" w:csb1="00000000"/>
  </w:font>
  <w:font w:name="Kingsoft Confetti">
    <w:panose1 w:val="05000100010000000000"/>
    <w:charset w:val="00"/>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汉仪中黑KW">
    <w:panose1 w:val="00020600040101010101"/>
    <w:charset w:val="86"/>
    <w:family w:val="auto"/>
    <w:pitch w:val="default"/>
    <w:sig w:usb0="A00002BF" w:usb1="18EF7CFA" w:usb2="00000016" w:usb3="00000000" w:csb0="00040000"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Kingsoft Sign">
    <w:panose1 w:val="05050102010706020507"/>
    <w:charset w:val="00"/>
    <w:family w:val="auto"/>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FA86AC"/>
    <w:multiLevelType w:val="singleLevel"/>
    <w:tmpl w:val="EAFA86AC"/>
    <w:lvl w:ilvl="0" w:tentative="0">
      <w:start w:val="7"/>
      <w:numFmt w:val="decimal"/>
      <w:suff w:val="space"/>
      <w:lvlText w:val="%1."/>
      <w:lvlJc w:val="left"/>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