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9C3B48">
      <w:pPr>
        <w:spacing w:line="360" w:lineRule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附件3</w:t>
      </w:r>
    </w:p>
    <w:p w14:paraId="0823890F">
      <w:pPr>
        <w:spacing w:line="360" w:lineRule="auto"/>
        <w:jc w:val="center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北京工商大学“数字商科”案例研究开发报告要求</w:t>
      </w:r>
    </w:p>
    <w:p w14:paraId="6502EF6E">
      <w:pPr>
        <w:spacing w:line="360" w:lineRule="auto"/>
        <w:rPr>
          <w:rFonts w:hint="eastAsia" w:ascii="黑体" w:hAnsi="宋体" w:eastAsia="黑体" w:cs="宋体"/>
          <w:color w:val="000000"/>
          <w:kern w:val="0"/>
          <w:sz w:val="32"/>
          <w:szCs w:val="32"/>
        </w:rPr>
      </w:pPr>
    </w:p>
    <w:p w14:paraId="0254A4F9">
      <w:pPr>
        <w:spacing w:line="360" w:lineRule="auto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首段要求：</w:t>
      </w:r>
    </w:p>
    <w:p w14:paraId="51520A09">
      <w:pPr>
        <w:numPr>
          <w:ilvl w:val="0"/>
          <w:numId w:val="1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500-800字之间，直接进入情节叙述，不包括内容简介、关键词等。</w:t>
      </w:r>
    </w:p>
    <w:p w14:paraId="7CABFBF0">
      <w:pPr>
        <w:numPr>
          <w:ilvl w:val="0"/>
          <w:numId w:val="2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首段展示的问题必须具备充分的争议或开放性。</w:t>
      </w:r>
    </w:p>
    <w:p w14:paraId="0015AF99">
      <w:pPr>
        <w:numPr>
          <w:ilvl w:val="0"/>
          <w:numId w:val="2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从公司或主人公角度陈述，清晰描述公司所面临的挑战和困境，以及必须进行的决策和条件。</w:t>
      </w:r>
    </w:p>
    <w:p w14:paraId="4C4FF80D">
      <w:pPr>
        <w:spacing w:line="360" w:lineRule="auto"/>
        <w:rPr>
          <w:rFonts w:ascii="黑体" w:hAnsi="宋体" w:eastAsia="黑体" w:cs="宋体"/>
          <w:color w:val="000000"/>
          <w:kern w:val="0"/>
          <w:sz w:val="32"/>
          <w:szCs w:val="32"/>
        </w:rPr>
      </w:pPr>
    </w:p>
    <w:p w14:paraId="6722901A">
      <w:pPr>
        <w:spacing w:line="360" w:lineRule="auto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案例长度：</w:t>
      </w:r>
    </w:p>
    <w:p w14:paraId="62A3133D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1. 正文以10000字以</w:t>
      </w:r>
      <w:r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  <w:t>上</w:t>
      </w:r>
      <w:r>
        <w:rPr>
          <w:rFonts w:hint="eastAsia" w:ascii="宋体" w:hAnsi="宋体" w:eastAsia="宋体" w:cs="宋体"/>
          <w:color w:val="000000"/>
          <w:kern w:val="0"/>
          <w:sz w:val="24"/>
        </w:rPr>
        <w:t>（不含附录、辅助材料）。</w:t>
      </w:r>
    </w:p>
    <w:p w14:paraId="772AB009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2. 所有讨论问题均基于案例内容，案例内容应同时具备完整性和聚焦性。</w:t>
      </w:r>
    </w:p>
    <w:p w14:paraId="105BA582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3. 附录、引用、辅助材料等一律放在文章末尾。</w:t>
      </w:r>
    </w:p>
    <w:p w14:paraId="633C6C35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</w:p>
    <w:p w14:paraId="20A7FF4C">
      <w:pPr>
        <w:spacing w:line="360" w:lineRule="auto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案例叙述方式：</w:t>
      </w:r>
    </w:p>
    <w:p w14:paraId="12B601B8"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以公司为主角，或者以人为主角（第三人称叙述方式）均可，视角唯一。</w:t>
      </w:r>
    </w:p>
    <w:p w14:paraId="388D8F76"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案例主题内容主要是叙述挑战和困境的背景，或者是陈述指定决策的条件。</w:t>
      </w:r>
    </w:p>
    <w:p w14:paraId="61A4083F">
      <w:pPr>
        <w:numPr>
          <w:ilvl w:val="0"/>
          <w:numId w:val="3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叙述风格为客观中立，逻辑清晰，语言平实简单。</w:t>
      </w:r>
    </w:p>
    <w:p w14:paraId="57413063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</w:p>
    <w:p w14:paraId="1F7B0DBA">
      <w:pPr>
        <w:spacing w:line="360" w:lineRule="auto"/>
        <w:rPr>
          <w:rFonts w:ascii="黑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宋体"/>
          <w:color w:val="000000"/>
          <w:kern w:val="0"/>
          <w:sz w:val="32"/>
          <w:szCs w:val="32"/>
        </w:rPr>
        <w:t>案例结尾：</w:t>
      </w:r>
    </w:p>
    <w:p w14:paraId="1E356A7F"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基于公司现状，对未来的展望。</w:t>
      </w:r>
    </w:p>
    <w:p w14:paraId="7ED777A4"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对开头挑战的重述。</w:t>
      </w:r>
    </w:p>
    <w:p w14:paraId="4AC7DF0F"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对开头挑战的几种解决方案。</w:t>
      </w:r>
    </w:p>
    <w:p w14:paraId="42D5D8D7">
      <w:pPr>
        <w:numPr>
          <w:ilvl w:val="0"/>
          <w:numId w:val="4"/>
        </w:num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  <w:r>
        <w:rPr>
          <w:rFonts w:hint="eastAsia" w:ascii="宋体" w:hAnsi="宋体" w:eastAsia="宋体" w:cs="宋体"/>
          <w:color w:val="000000"/>
          <w:kern w:val="0"/>
          <w:sz w:val="24"/>
        </w:rPr>
        <w:t>新问题的浮现。</w:t>
      </w:r>
    </w:p>
    <w:p w14:paraId="26E8EF66">
      <w:pPr>
        <w:spacing w:line="360" w:lineRule="auto"/>
        <w:rPr>
          <w:rFonts w:ascii="宋体" w:hAnsi="宋体" w:eastAsia="宋体" w:cs="宋体"/>
          <w:color w:val="000000"/>
          <w:kern w:val="0"/>
          <w:sz w:val="24"/>
        </w:rPr>
      </w:pPr>
    </w:p>
    <w:p w14:paraId="09A5567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3E077C3"/>
    <w:multiLevelType w:val="singleLevel"/>
    <w:tmpl w:val="F3E077C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D57309"/>
    <w:multiLevelType w:val="singleLevel"/>
    <w:tmpl w:val="17D57309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70D13626"/>
    <w:multiLevelType w:val="singleLevel"/>
    <w:tmpl w:val="70D1362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E69D684"/>
    <w:multiLevelType w:val="singleLevel"/>
    <w:tmpl w:val="7E69D6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